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7B" w:rsidRPr="00AB1157" w:rsidRDefault="0016177B" w:rsidP="0016177B">
      <w:pPr>
        <w:ind w:left="567"/>
        <w:outlineLvl w:val="0"/>
        <w:rPr>
          <w:b/>
        </w:rPr>
      </w:pPr>
      <w:r w:rsidRPr="00AB1157">
        <w:rPr>
          <w:b/>
        </w:rPr>
        <w:t xml:space="preserve">André Jacob : </w:t>
      </w:r>
    </w:p>
    <w:p w:rsidR="0016177B" w:rsidRPr="00AB1157" w:rsidRDefault="0016177B" w:rsidP="0016177B">
      <w:pPr>
        <w:ind w:left="567"/>
        <w:rPr>
          <w:b/>
        </w:rPr>
      </w:pPr>
    </w:p>
    <w:p w:rsidR="0016177B" w:rsidRPr="00AB1157" w:rsidRDefault="0016177B" w:rsidP="0016177B">
      <w:pPr>
        <w:ind w:left="567"/>
        <w:outlineLvl w:val="0"/>
        <w:rPr>
          <w:b/>
          <w:i/>
        </w:rPr>
      </w:pPr>
      <w:r w:rsidRPr="00AB1157">
        <w:rPr>
          <w:b/>
          <w:i/>
        </w:rPr>
        <w:t>Une Anthropologie ?</w:t>
      </w:r>
    </w:p>
    <w:p w:rsidR="0016177B" w:rsidRPr="00AB1157" w:rsidRDefault="0016177B" w:rsidP="0016177B">
      <w:pPr>
        <w:ind w:left="567"/>
        <w:rPr>
          <w:b/>
          <w:i/>
        </w:rPr>
      </w:pPr>
    </w:p>
    <w:p w:rsidR="007745B0" w:rsidRDefault="0016177B" w:rsidP="0016177B">
      <w:r w:rsidRPr="00AB1157">
        <w:t xml:space="preserve">Après avoir diversement éclairé en philosophe la </w:t>
      </w:r>
      <w:r w:rsidRPr="00AB1157">
        <w:rPr>
          <w:i/>
        </w:rPr>
        <w:t>théorie</w:t>
      </w:r>
      <w:r w:rsidRPr="00AB1157">
        <w:t xml:space="preserve"> de Gustave Guillaume, lors d’une dizaine de Congrès, ne devais-je pas tenter de communiquer à ma famille linguistique la </w:t>
      </w:r>
      <w:r w:rsidRPr="00AB1157">
        <w:rPr>
          <w:i/>
        </w:rPr>
        <w:t>philosophie</w:t>
      </w:r>
      <w:r w:rsidRPr="00AB1157">
        <w:t xml:space="preserve"> – aussi marginalisée que celle de son inspirateur – que je n’ai cessé d’élaborer. D’une part, parce qu’aucun autre admirateur philosophe (</w:t>
      </w:r>
      <w:proofErr w:type="spellStart"/>
      <w:r w:rsidRPr="00AB1157">
        <w:t>Maldiney</w:t>
      </w:r>
      <w:proofErr w:type="spellEnd"/>
      <w:r w:rsidRPr="00AB1157">
        <w:t xml:space="preserve">, </w:t>
      </w:r>
      <w:proofErr w:type="spellStart"/>
      <w:r w:rsidRPr="00AB1157">
        <w:t>Ricoeur</w:t>
      </w:r>
      <w:proofErr w:type="spellEnd"/>
      <w:r w:rsidRPr="00AB1157">
        <w:t xml:space="preserve">, Granger, </w:t>
      </w:r>
      <w:proofErr w:type="spellStart"/>
      <w:r w:rsidRPr="00AB1157">
        <w:t>Agamben</w:t>
      </w:r>
      <w:proofErr w:type="spellEnd"/>
      <w:r w:rsidRPr="00AB1157">
        <w:t xml:space="preserve">) ne l’avait prise comme principal « tremplin ». D’autre part, parce la raison de ma fidélité aura été d’y avoir trouvé un enseignement central sur la </w:t>
      </w:r>
      <w:r w:rsidRPr="00AB1157">
        <w:rPr>
          <w:i/>
        </w:rPr>
        <w:t>condition humaine</w:t>
      </w:r>
      <w:r w:rsidRPr="00AB1157">
        <w:t xml:space="preserve"> : le foyer d’une </w:t>
      </w:r>
      <w:proofErr w:type="spellStart"/>
      <w:r w:rsidRPr="00264F10">
        <w:rPr>
          <w:i/>
        </w:rPr>
        <w:t>Anthropo-logique</w:t>
      </w:r>
      <w:proofErr w:type="spellEnd"/>
      <w:r w:rsidRPr="00AB1157">
        <w:t>, esquissée et parue (à CNRS Ed. 2011) soixante ans après mon entrée à la 4</w:t>
      </w:r>
      <w:r w:rsidRPr="00AB1157">
        <w:rPr>
          <w:vertAlign w:val="superscript"/>
        </w:rPr>
        <w:t>ème</w:t>
      </w:r>
      <w:r w:rsidRPr="00AB1157">
        <w:t xml:space="preserve"> section à l’Ecole Pratiques des Hautes Etudes jusqu’à la disparition du maître.</w:t>
      </w:r>
      <w:bookmarkStart w:id="0" w:name="_GoBack"/>
      <w:bookmarkEnd w:id="0"/>
    </w:p>
    <w:sectPr w:rsidR="007745B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7B"/>
    <w:rsid w:val="00005379"/>
    <w:rsid w:val="0016177B"/>
    <w:rsid w:val="0077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PJD"/>
    <w:qFormat/>
    <w:rsid w:val="0016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PJD"/>
    <w:qFormat/>
    <w:rsid w:val="00161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PJD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>Université Laval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Duffley</dc:creator>
  <cp:lastModifiedBy>Patrick Duffley</cp:lastModifiedBy>
  <cp:revision>1</cp:revision>
  <dcterms:created xsi:type="dcterms:W3CDTF">2015-01-12T15:12:00Z</dcterms:created>
  <dcterms:modified xsi:type="dcterms:W3CDTF">2015-01-12T15:13:00Z</dcterms:modified>
</cp:coreProperties>
</file>