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D9" w:rsidRPr="00C355D9" w:rsidRDefault="00C355D9" w:rsidP="00C355D9">
      <w:pPr>
        <w:autoSpaceDE w:val="0"/>
        <w:autoSpaceDN w:val="0"/>
        <w:adjustRightInd w:val="0"/>
        <w:spacing w:after="0"/>
        <w:ind w:firstLine="709"/>
        <w:jc w:val="center"/>
        <w:rPr>
          <w:rFonts w:ascii="Times New Roman" w:hAnsi="Times New Roman"/>
          <w:lang w:val="ro-RO"/>
        </w:rPr>
      </w:pPr>
      <w:r w:rsidRPr="00C355D9">
        <w:rPr>
          <w:rFonts w:ascii="Times New Roman" w:hAnsi="Times New Roman"/>
          <w:lang w:val="ro-RO"/>
        </w:rPr>
        <w:t xml:space="preserve">Ștefan Gencărău / CAER EA 854 </w:t>
      </w:r>
    </w:p>
    <w:p w:rsidR="00C355D9" w:rsidRPr="00C355D9" w:rsidRDefault="00C355D9" w:rsidP="00C355D9">
      <w:pPr>
        <w:autoSpaceDE w:val="0"/>
        <w:autoSpaceDN w:val="0"/>
        <w:adjustRightInd w:val="0"/>
        <w:spacing w:after="0"/>
        <w:ind w:firstLine="709"/>
        <w:jc w:val="center"/>
        <w:rPr>
          <w:rFonts w:ascii="Times New Roman" w:hAnsi="Times New Roman"/>
          <w:lang w:val="ro-RO"/>
        </w:rPr>
      </w:pPr>
      <w:r w:rsidRPr="00C355D9">
        <w:rPr>
          <w:rFonts w:ascii="Times New Roman" w:hAnsi="Times New Roman"/>
          <w:lang w:val="ro-RO"/>
        </w:rPr>
        <w:t>Oana Aurelia Gencărău / CAER EA 854</w:t>
      </w:r>
    </w:p>
    <w:p w:rsidR="00C355D9" w:rsidRPr="00C355D9" w:rsidRDefault="00C355D9" w:rsidP="00C355D9">
      <w:pPr>
        <w:autoSpaceDE w:val="0"/>
        <w:autoSpaceDN w:val="0"/>
        <w:adjustRightInd w:val="0"/>
        <w:spacing w:after="0"/>
        <w:ind w:firstLine="709"/>
        <w:jc w:val="center"/>
        <w:rPr>
          <w:rFonts w:ascii="Times New Roman" w:hAnsi="Times New Roman"/>
          <w:lang w:val="ro-RO"/>
        </w:rPr>
      </w:pPr>
    </w:p>
    <w:p w:rsidR="00C355D9" w:rsidRPr="00C355D9" w:rsidRDefault="00C355D9" w:rsidP="00C355D9">
      <w:pPr>
        <w:autoSpaceDE w:val="0"/>
        <w:autoSpaceDN w:val="0"/>
        <w:adjustRightInd w:val="0"/>
        <w:spacing w:after="0"/>
        <w:ind w:firstLine="709"/>
        <w:jc w:val="center"/>
        <w:rPr>
          <w:rFonts w:ascii="Times New Roman" w:hAnsi="Times New Roman"/>
          <w:b/>
          <w:lang w:val="ro-RO"/>
        </w:rPr>
      </w:pPr>
      <w:r w:rsidRPr="00C355D9">
        <w:rPr>
          <w:rFonts w:ascii="Times New Roman" w:hAnsi="Times New Roman"/>
          <w:b/>
          <w:lang w:val="ro-RO"/>
        </w:rPr>
        <w:t xml:space="preserve">Le </w:t>
      </w:r>
      <w:r w:rsidRPr="00C355D9">
        <w:rPr>
          <w:rFonts w:ascii="Times New Roman" w:hAnsi="Times New Roman"/>
          <w:b/>
        </w:rPr>
        <w:t>rôle</w:t>
      </w:r>
      <w:r w:rsidRPr="00C355D9">
        <w:rPr>
          <w:rFonts w:ascii="Times New Roman" w:hAnsi="Times New Roman"/>
          <w:b/>
          <w:lang w:val="ro-RO"/>
        </w:rPr>
        <w:t xml:space="preserve"> translatif du pronom relatif. </w:t>
      </w:r>
      <w:r w:rsidRPr="00C355D9">
        <w:rPr>
          <w:rFonts w:ascii="Times New Roman" w:hAnsi="Times New Roman"/>
          <w:b/>
        </w:rPr>
        <w:t>Étude</w:t>
      </w:r>
      <w:r w:rsidRPr="00C355D9">
        <w:rPr>
          <w:rFonts w:ascii="Times New Roman" w:hAnsi="Times New Roman"/>
          <w:b/>
          <w:lang w:val="ro-RO"/>
        </w:rPr>
        <w:t xml:space="preserve"> contrastive roumain/français, </w:t>
      </w:r>
    </w:p>
    <w:p w:rsidR="00C355D9" w:rsidRPr="00C355D9" w:rsidRDefault="00C355D9" w:rsidP="00C355D9">
      <w:pPr>
        <w:autoSpaceDE w:val="0"/>
        <w:autoSpaceDN w:val="0"/>
        <w:adjustRightInd w:val="0"/>
        <w:spacing w:after="0"/>
        <w:ind w:firstLine="709"/>
        <w:jc w:val="center"/>
        <w:rPr>
          <w:rFonts w:ascii="Times New Roman" w:hAnsi="Times New Roman"/>
          <w:b/>
        </w:rPr>
      </w:pPr>
      <w:r w:rsidRPr="00C355D9">
        <w:rPr>
          <w:rFonts w:ascii="Times New Roman" w:hAnsi="Times New Roman"/>
          <w:b/>
          <w:lang w:val="ro-RO"/>
        </w:rPr>
        <w:t>à partir d’un corpus</w:t>
      </w:r>
      <w:r w:rsidRPr="00C355D9">
        <w:rPr>
          <w:rFonts w:ascii="Times New Roman" w:hAnsi="Times New Roman"/>
          <w:b/>
        </w:rPr>
        <w:t xml:space="preserve"> roumain</w:t>
      </w:r>
    </w:p>
    <w:p w:rsidR="00C355D9" w:rsidRPr="00C355D9" w:rsidRDefault="00C355D9" w:rsidP="00C355D9">
      <w:pPr>
        <w:autoSpaceDE w:val="0"/>
        <w:autoSpaceDN w:val="0"/>
        <w:adjustRightInd w:val="0"/>
        <w:spacing w:after="0"/>
        <w:ind w:firstLine="709"/>
        <w:jc w:val="center"/>
        <w:rPr>
          <w:rFonts w:ascii="Times New Roman" w:hAnsi="Times New Roman"/>
          <w:b/>
        </w:rPr>
      </w:pPr>
    </w:p>
    <w:p w:rsidR="00C355D9" w:rsidRPr="00C355D9" w:rsidRDefault="00C355D9" w:rsidP="00C355D9">
      <w:pPr>
        <w:autoSpaceDE w:val="0"/>
        <w:autoSpaceDN w:val="0"/>
        <w:adjustRightInd w:val="0"/>
        <w:spacing w:after="0"/>
        <w:jc w:val="both"/>
        <w:rPr>
          <w:rFonts w:ascii="Times New Roman" w:hAnsi="Times New Roman"/>
          <w:lang w:val="ro-RO"/>
        </w:rPr>
      </w:pPr>
      <w:r w:rsidRPr="00C355D9">
        <w:rPr>
          <w:rFonts w:ascii="Times New Roman" w:hAnsi="Times New Roman"/>
          <w:lang w:val="ro-RO"/>
        </w:rPr>
        <w:t xml:space="preserve">Dans plusieurs de ses conférences, Gustave Guillaume fait référence à </w:t>
      </w:r>
      <w:r w:rsidRPr="00C355D9">
        <w:rPr>
          <w:rFonts w:ascii="Times New Roman" w:hAnsi="Times New Roman"/>
          <w:i/>
          <w:lang w:val="ro-RO"/>
        </w:rPr>
        <w:t>un mécanisme assez particulier</w:t>
      </w:r>
      <w:r w:rsidRPr="00C355D9">
        <w:rPr>
          <w:rFonts w:ascii="Times New Roman" w:hAnsi="Times New Roman"/>
          <w:lang w:val="ro-RO"/>
        </w:rPr>
        <w:t xml:space="preserve"> dans lequel intervient le pronom relatif.</w:t>
      </w:r>
    </w:p>
    <w:p w:rsidR="00C355D9" w:rsidRPr="00C355D9" w:rsidRDefault="00C355D9" w:rsidP="00C355D9">
      <w:pPr>
        <w:autoSpaceDE w:val="0"/>
        <w:autoSpaceDN w:val="0"/>
        <w:adjustRightInd w:val="0"/>
        <w:spacing w:after="0"/>
        <w:jc w:val="both"/>
        <w:rPr>
          <w:rFonts w:ascii="Times New Roman" w:hAnsi="Times New Roman"/>
          <w:lang w:val="ro-RO"/>
        </w:rPr>
      </w:pPr>
    </w:p>
    <w:p w:rsidR="00C355D9" w:rsidRPr="00C355D9" w:rsidRDefault="00C355D9" w:rsidP="00C355D9">
      <w:pPr>
        <w:autoSpaceDE w:val="0"/>
        <w:autoSpaceDN w:val="0"/>
        <w:adjustRightInd w:val="0"/>
        <w:spacing w:after="0"/>
        <w:jc w:val="both"/>
        <w:rPr>
          <w:rFonts w:ascii="Times New Roman" w:hAnsi="Times New Roman"/>
        </w:rPr>
      </w:pPr>
      <w:r w:rsidRPr="00C355D9">
        <w:rPr>
          <w:rFonts w:ascii="Times New Roman" w:hAnsi="Times New Roman"/>
        </w:rPr>
        <w:t>Guillaume invoque ce mécanisme non seulement pour établir l’origine ou la valeur pronominale de l’article  (</w:t>
      </w:r>
      <w:r w:rsidRPr="00C355D9">
        <w:rPr>
          <w:rFonts w:ascii="Times New Roman" w:hAnsi="Times New Roman"/>
          <w:i/>
        </w:rPr>
        <w:t>Le problème de l'article et sa solution dans la langue française</w:t>
      </w:r>
      <w:r w:rsidRPr="00C355D9">
        <w:rPr>
          <w:rFonts w:ascii="Times New Roman" w:hAnsi="Times New Roman"/>
        </w:rPr>
        <w:t xml:space="preserve">), ou pour distinguer entre </w:t>
      </w:r>
      <w:r w:rsidRPr="00C355D9">
        <w:rPr>
          <w:rFonts w:ascii="Times New Roman" w:hAnsi="Times New Roman"/>
          <w:i/>
        </w:rPr>
        <w:t xml:space="preserve">que </w:t>
      </w:r>
      <w:r w:rsidRPr="00C355D9">
        <w:rPr>
          <w:rFonts w:ascii="Times New Roman" w:hAnsi="Times New Roman"/>
        </w:rPr>
        <w:t xml:space="preserve">pronom relatif et </w:t>
      </w:r>
      <w:r w:rsidRPr="00C355D9">
        <w:rPr>
          <w:rFonts w:ascii="Times New Roman" w:hAnsi="Times New Roman"/>
          <w:i/>
        </w:rPr>
        <w:t>que</w:t>
      </w:r>
      <w:r w:rsidRPr="00C355D9">
        <w:rPr>
          <w:rFonts w:ascii="Times New Roman" w:hAnsi="Times New Roman"/>
        </w:rPr>
        <w:t xml:space="preserve"> conjonction </w:t>
      </w:r>
      <w:r w:rsidRPr="00C355D9">
        <w:rPr>
          <w:rFonts w:ascii="Times New Roman" w:hAnsi="Times New Roman"/>
          <w:lang w:val="ro-RO"/>
        </w:rPr>
        <w:t>(</w:t>
      </w:r>
      <w:r w:rsidRPr="00C355D9">
        <w:rPr>
          <w:rFonts w:ascii="Times New Roman" w:hAnsi="Times New Roman"/>
          <w:i/>
        </w:rPr>
        <w:t>Leçon du 19 avril 1945, série A</w:t>
      </w:r>
      <w:r w:rsidRPr="00C355D9">
        <w:rPr>
          <w:rFonts w:ascii="Times New Roman" w:hAnsi="Times New Roman"/>
        </w:rPr>
        <w:t xml:space="preserve">),  mais aussi pour décrire les rapports syntaxiques avec </w:t>
      </w:r>
      <w:r w:rsidRPr="00C355D9">
        <w:rPr>
          <w:rFonts w:ascii="Times New Roman" w:hAnsi="Times New Roman"/>
          <w:i/>
        </w:rPr>
        <w:t>un antécédent dont le mouvement n'est pas un accès à la réalité, mais, au contraire, un retrait de celle-ci</w:t>
      </w:r>
      <w:r w:rsidRPr="00C355D9">
        <w:rPr>
          <w:rFonts w:ascii="Times New Roman" w:hAnsi="Times New Roman"/>
        </w:rPr>
        <w:t xml:space="preserve"> (</w:t>
      </w:r>
      <w:r w:rsidRPr="00C355D9">
        <w:rPr>
          <w:rFonts w:ascii="Times New Roman" w:hAnsi="Times New Roman"/>
          <w:i/>
        </w:rPr>
        <w:t>Leçon du 17 mai 1945, série A</w:t>
      </w:r>
      <w:r w:rsidRPr="00C355D9">
        <w:rPr>
          <w:rFonts w:ascii="Times New Roman" w:hAnsi="Times New Roman"/>
        </w:rPr>
        <w:t xml:space="preserve">), ou encore pour expliquer </w:t>
      </w:r>
      <w:r w:rsidRPr="00C355D9">
        <w:rPr>
          <w:rFonts w:ascii="Times New Roman" w:hAnsi="Times New Roman"/>
          <w:i/>
        </w:rPr>
        <w:t>l'emploi alternant de l'indicatif et du subjonctif</w:t>
      </w:r>
      <w:r w:rsidRPr="00C355D9">
        <w:rPr>
          <w:rFonts w:ascii="Times New Roman" w:hAnsi="Times New Roman"/>
        </w:rPr>
        <w:t xml:space="preserve">  (Leçon du 17 mai 1945, série A)</w:t>
      </w:r>
    </w:p>
    <w:p w:rsidR="00C355D9" w:rsidRPr="00C355D9" w:rsidRDefault="00C355D9" w:rsidP="00C355D9">
      <w:pPr>
        <w:tabs>
          <w:tab w:val="left" w:pos="9066"/>
        </w:tabs>
        <w:ind w:right="-6"/>
        <w:jc w:val="both"/>
        <w:rPr>
          <w:rFonts w:ascii="Times New Roman" w:hAnsi="Times New Roman"/>
        </w:rPr>
      </w:pPr>
      <w:r w:rsidRPr="00C355D9">
        <w:rPr>
          <w:rFonts w:ascii="Times New Roman" w:hAnsi="Times New Roman"/>
        </w:rPr>
        <w:t xml:space="preserve">Pour Gustave Guillaume le rôle le plus important du pronom relatif est d’assurer </w:t>
      </w:r>
      <w:r w:rsidRPr="00C355D9">
        <w:rPr>
          <w:rFonts w:ascii="Times New Roman" w:hAnsi="Times New Roman"/>
          <w:i/>
        </w:rPr>
        <w:t>la translation d'une phrase sur le plan nominal, autrement dit la réduction d'une phrase en nom de discours</w:t>
      </w:r>
      <w:r w:rsidRPr="00C355D9">
        <w:rPr>
          <w:rFonts w:ascii="Times New Roman" w:hAnsi="Times New Roman"/>
        </w:rPr>
        <w:t xml:space="preserve"> (Leçon du 6 mai 1949, série C) :</w:t>
      </w:r>
    </w:p>
    <w:p w:rsidR="00C355D9" w:rsidRPr="00C355D9" w:rsidRDefault="00C355D9" w:rsidP="00C355D9">
      <w:pPr>
        <w:tabs>
          <w:tab w:val="left" w:pos="9066"/>
        </w:tabs>
        <w:ind w:left="708" w:right="-6"/>
        <w:jc w:val="both"/>
        <w:rPr>
          <w:rFonts w:ascii="Times New Roman" w:hAnsi="Times New Roman"/>
          <w:i/>
        </w:rPr>
      </w:pPr>
      <w:r w:rsidRPr="00C355D9">
        <w:rPr>
          <w:rFonts w:ascii="Times New Roman" w:hAnsi="Times New Roman"/>
          <w:i/>
        </w:rPr>
        <w:t xml:space="preserve">Le rôle du pronom relatif à l'intérieur de la proposition dite relative est, comme on a déjà eu l'occasion de le faire remarquer dans l'étude que l'on a faite de la construction de cette proposition, un rôle translatif. Le pronom relatif transporte sur le plan du nom, d'un nom qu'elle contient, tout le reste d'une phrase </w:t>
      </w:r>
      <w:r w:rsidRPr="00C355D9">
        <w:rPr>
          <w:rFonts w:ascii="Times New Roman" w:hAnsi="Times New Roman"/>
        </w:rPr>
        <w:t>(Leçon du 24 mai 1945, série A)</w:t>
      </w:r>
      <w:r w:rsidRPr="00C355D9">
        <w:rPr>
          <w:rFonts w:ascii="Times New Roman" w:hAnsi="Times New Roman"/>
          <w:i/>
        </w:rPr>
        <w:t>.</w:t>
      </w:r>
    </w:p>
    <w:p w:rsidR="00C355D9" w:rsidRPr="00C355D9" w:rsidRDefault="00C355D9" w:rsidP="00C355D9">
      <w:pPr>
        <w:tabs>
          <w:tab w:val="left" w:pos="9070"/>
        </w:tabs>
        <w:ind w:right="-2"/>
        <w:jc w:val="both"/>
        <w:rPr>
          <w:rFonts w:ascii="Times New Roman" w:hAnsi="Times New Roman"/>
        </w:rPr>
      </w:pPr>
      <w:r w:rsidRPr="00C355D9">
        <w:rPr>
          <w:rFonts w:ascii="Times New Roman" w:hAnsi="Times New Roman"/>
        </w:rPr>
        <w:t xml:space="preserve">Dans notre intervention nous nous proposons d’apporter des arguments en faveur du rôle et du procès dans lesquels est impliqué le pronom relatif en nous rapportant, de manière contrastive par rapport au français, à des situations de subordination propres à la syntaxe du roumain. </w:t>
      </w:r>
    </w:p>
    <w:p w:rsidR="00C355D9" w:rsidRPr="00C355D9" w:rsidRDefault="00C355D9" w:rsidP="00C355D9">
      <w:pPr>
        <w:jc w:val="both"/>
        <w:rPr>
          <w:rFonts w:ascii="Times New Roman" w:hAnsi="Times New Roman"/>
        </w:rPr>
      </w:pPr>
      <w:r w:rsidRPr="00C355D9">
        <w:rPr>
          <w:rFonts w:ascii="Times New Roman" w:hAnsi="Times New Roman"/>
        </w:rPr>
        <w:t>C’est le cas des phrases où le pronom relatif est accompagné d’un article. L’article, placé devant un relatif, indique le genre et le nombre du nom appartenant à la proposition introduite par ce relatif, et, à son tour, le relatif indique le genre et le nombre de l’antécédent qui se trouve dans la proposition régissante, comme dans l’exemple ci-dessous :</w:t>
      </w:r>
    </w:p>
    <w:p w:rsidR="00C355D9" w:rsidRPr="00C355D9" w:rsidRDefault="00C355D9" w:rsidP="00C355D9">
      <w:pPr>
        <w:jc w:val="both"/>
        <w:rPr>
          <w:rFonts w:ascii="Times New Roman" w:hAnsi="Times New Roman"/>
        </w:rPr>
      </w:pPr>
      <w:proofErr w:type="spellStart"/>
      <w:r w:rsidRPr="00C355D9">
        <w:rPr>
          <w:rFonts w:ascii="Times New Roman" w:hAnsi="Times New Roman"/>
          <w:i/>
        </w:rPr>
        <w:t>Băiatul</w:t>
      </w:r>
      <w:proofErr w:type="spellEnd"/>
      <w:r w:rsidRPr="00C355D9">
        <w:rPr>
          <w:rFonts w:ascii="Times New Roman" w:hAnsi="Times New Roman"/>
          <w:i/>
        </w:rPr>
        <w:t xml:space="preserve"> </w:t>
      </w:r>
      <w:proofErr w:type="spellStart"/>
      <w:r w:rsidRPr="00C355D9">
        <w:rPr>
          <w:rFonts w:ascii="Times New Roman" w:hAnsi="Times New Roman"/>
          <w:i/>
        </w:rPr>
        <w:t>în</w:t>
      </w:r>
      <w:proofErr w:type="spellEnd"/>
      <w:r w:rsidRPr="00C355D9">
        <w:rPr>
          <w:rFonts w:ascii="Times New Roman" w:hAnsi="Times New Roman"/>
          <w:i/>
        </w:rPr>
        <w:t xml:space="preserve"> </w:t>
      </w:r>
      <w:proofErr w:type="spellStart"/>
      <w:r w:rsidRPr="00C355D9">
        <w:rPr>
          <w:rFonts w:ascii="Times New Roman" w:hAnsi="Times New Roman"/>
          <w:i/>
        </w:rPr>
        <w:t>ale</w:t>
      </w:r>
      <w:proofErr w:type="spellEnd"/>
      <w:r w:rsidRPr="00C355D9">
        <w:rPr>
          <w:rFonts w:ascii="Times New Roman" w:hAnsi="Times New Roman"/>
          <w:i/>
        </w:rPr>
        <w:t xml:space="preserve"> </w:t>
      </w:r>
      <w:proofErr w:type="spellStart"/>
      <w:r w:rsidRPr="00C355D9">
        <w:rPr>
          <w:rFonts w:ascii="Times New Roman" w:hAnsi="Times New Roman"/>
          <w:i/>
        </w:rPr>
        <w:t>cărui</w:t>
      </w:r>
      <w:proofErr w:type="spellEnd"/>
      <w:r w:rsidRPr="00C355D9">
        <w:rPr>
          <w:rFonts w:ascii="Times New Roman" w:hAnsi="Times New Roman"/>
          <w:i/>
        </w:rPr>
        <w:t xml:space="preserve"> </w:t>
      </w:r>
      <w:proofErr w:type="spellStart"/>
      <w:r w:rsidRPr="00C355D9">
        <w:rPr>
          <w:rFonts w:ascii="Times New Roman" w:hAnsi="Times New Roman"/>
          <w:i/>
        </w:rPr>
        <w:t>vorbe</w:t>
      </w:r>
      <w:proofErr w:type="spellEnd"/>
      <w:r w:rsidRPr="00C355D9">
        <w:rPr>
          <w:rFonts w:ascii="Times New Roman" w:hAnsi="Times New Roman"/>
          <w:i/>
        </w:rPr>
        <w:t xml:space="preserve"> </w:t>
      </w:r>
      <w:proofErr w:type="spellStart"/>
      <w:r w:rsidRPr="00C355D9">
        <w:rPr>
          <w:rFonts w:ascii="Times New Roman" w:hAnsi="Times New Roman"/>
          <w:i/>
        </w:rPr>
        <w:t>cred</w:t>
      </w:r>
      <w:proofErr w:type="spellEnd"/>
      <w:r w:rsidRPr="00C355D9">
        <w:rPr>
          <w:rFonts w:ascii="Times New Roman" w:hAnsi="Times New Roman"/>
        </w:rPr>
        <w:t xml:space="preserve">… /   Le garçon aux paroles duquel je crois… </w:t>
      </w:r>
    </w:p>
    <w:p w:rsidR="00C355D9" w:rsidRPr="00C355D9" w:rsidRDefault="00C355D9" w:rsidP="00C355D9">
      <w:pPr>
        <w:jc w:val="both"/>
        <w:rPr>
          <w:rFonts w:ascii="Times New Roman" w:hAnsi="Times New Roman"/>
          <w:lang w:val="ro-RO"/>
        </w:rPr>
      </w:pPr>
      <w:r w:rsidRPr="00C355D9">
        <w:rPr>
          <w:rFonts w:ascii="Times New Roman" w:hAnsi="Times New Roman"/>
          <w:lang w:val="ro-RO"/>
        </w:rPr>
        <w:t>Nous montrerons que cette imbrication, fr</w:t>
      </w:r>
      <w:r w:rsidRPr="00C355D9">
        <w:rPr>
          <w:rFonts w:ascii="Times New Roman" w:hAnsi="Times New Roman"/>
        </w:rPr>
        <w:t>é</w:t>
      </w:r>
      <w:r w:rsidRPr="00C355D9">
        <w:rPr>
          <w:rFonts w:ascii="Times New Roman" w:hAnsi="Times New Roman"/>
          <w:lang w:val="ro-RO"/>
        </w:rPr>
        <w:t xml:space="preserve">quente en roumain, peut mettre en </w:t>
      </w:r>
      <w:r w:rsidRPr="00C355D9">
        <w:rPr>
          <w:rFonts w:ascii="Times New Roman" w:hAnsi="Times New Roman"/>
        </w:rPr>
        <w:t>é</w:t>
      </w:r>
      <w:r w:rsidRPr="00C355D9">
        <w:rPr>
          <w:rFonts w:ascii="Times New Roman" w:hAnsi="Times New Roman"/>
          <w:lang w:val="ro-RO"/>
        </w:rPr>
        <w:t xml:space="preserve">vidence le </w:t>
      </w:r>
      <w:r w:rsidRPr="00C355D9">
        <w:rPr>
          <w:rFonts w:ascii="Times New Roman" w:hAnsi="Times New Roman"/>
        </w:rPr>
        <w:t>rôle</w:t>
      </w:r>
      <w:r w:rsidRPr="00C355D9">
        <w:rPr>
          <w:rFonts w:ascii="Times New Roman" w:hAnsi="Times New Roman"/>
          <w:lang w:val="ro-RO"/>
        </w:rPr>
        <w:t xml:space="preserve"> translatif du pronom relatif.</w:t>
      </w:r>
    </w:p>
    <w:p w:rsidR="00C355D9" w:rsidRPr="00C355D9" w:rsidRDefault="00C355D9" w:rsidP="00C355D9">
      <w:pPr>
        <w:rPr>
          <w:rFonts w:ascii="Times New Roman" w:hAnsi="Times New Roman"/>
          <w:lang w:val="ro-RO"/>
        </w:rPr>
      </w:pPr>
      <w:bookmarkStart w:id="0" w:name="_GoBack"/>
      <w:bookmarkEnd w:id="0"/>
    </w:p>
    <w:p w:rsidR="00C355D9" w:rsidRPr="00C355D9" w:rsidRDefault="00C355D9" w:rsidP="00C355D9">
      <w:pPr>
        <w:rPr>
          <w:rFonts w:ascii="Times New Roman" w:hAnsi="Times New Roman"/>
        </w:rPr>
      </w:pPr>
    </w:p>
    <w:p w:rsidR="00C355D9" w:rsidRDefault="00C355D9"/>
    <w:sectPr w:rsidR="00C355D9" w:rsidSect="0096462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9D"/>
    <w:rsid w:val="003C379F"/>
    <w:rsid w:val="004C169D"/>
    <w:rsid w:val="00C355D9"/>
    <w:rsid w:val="00CF067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355D9"/>
    <w:rPr>
      <w:color w:val="0000FF"/>
      <w:u w:val="single"/>
    </w:rPr>
  </w:style>
  <w:style w:type="paragraph" w:styleId="En-tte">
    <w:name w:val="header"/>
    <w:basedOn w:val="Normal"/>
    <w:link w:val="En-tteCar"/>
    <w:uiPriority w:val="99"/>
    <w:semiHidden/>
    <w:unhideWhenUsed/>
    <w:rsid w:val="00C355D9"/>
    <w:pPr>
      <w:tabs>
        <w:tab w:val="center" w:pos="4536"/>
        <w:tab w:val="right" w:pos="9072"/>
      </w:tabs>
      <w:spacing w:after="0"/>
    </w:pPr>
  </w:style>
  <w:style w:type="character" w:customStyle="1" w:styleId="En-tteCar">
    <w:name w:val="En-tête Car"/>
    <w:basedOn w:val="Policepardfaut"/>
    <w:link w:val="En-tte"/>
    <w:uiPriority w:val="99"/>
    <w:semiHidden/>
    <w:rsid w:val="00C355D9"/>
  </w:style>
  <w:style w:type="paragraph" w:styleId="Pieddepage">
    <w:name w:val="footer"/>
    <w:basedOn w:val="Normal"/>
    <w:link w:val="PieddepageCar"/>
    <w:uiPriority w:val="99"/>
    <w:semiHidden/>
    <w:unhideWhenUsed/>
    <w:rsid w:val="00C355D9"/>
    <w:pPr>
      <w:tabs>
        <w:tab w:val="center" w:pos="4536"/>
        <w:tab w:val="right" w:pos="9072"/>
      </w:tabs>
      <w:spacing w:after="0"/>
    </w:pPr>
  </w:style>
  <w:style w:type="character" w:customStyle="1" w:styleId="PieddepageCar">
    <w:name w:val="Pied de page Car"/>
    <w:basedOn w:val="Policepardfaut"/>
    <w:link w:val="Pieddepage"/>
    <w:uiPriority w:val="99"/>
    <w:semiHidden/>
    <w:rsid w:val="00C35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355D9"/>
    <w:rPr>
      <w:color w:val="0000FF"/>
      <w:u w:val="single"/>
    </w:rPr>
  </w:style>
  <w:style w:type="paragraph" w:styleId="En-tte">
    <w:name w:val="header"/>
    <w:basedOn w:val="Normal"/>
    <w:link w:val="En-tteCar"/>
    <w:uiPriority w:val="99"/>
    <w:semiHidden/>
    <w:unhideWhenUsed/>
    <w:rsid w:val="00C355D9"/>
    <w:pPr>
      <w:tabs>
        <w:tab w:val="center" w:pos="4536"/>
        <w:tab w:val="right" w:pos="9072"/>
      </w:tabs>
      <w:spacing w:after="0"/>
    </w:pPr>
  </w:style>
  <w:style w:type="character" w:customStyle="1" w:styleId="En-tteCar">
    <w:name w:val="En-tête Car"/>
    <w:basedOn w:val="Policepardfaut"/>
    <w:link w:val="En-tte"/>
    <w:uiPriority w:val="99"/>
    <w:semiHidden/>
    <w:rsid w:val="00C355D9"/>
  </w:style>
  <w:style w:type="paragraph" w:styleId="Pieddepage">
    <w:name w:val="footer"/>
    <w:basedOn w:val="Normal"/>
    <w:link w:val="PieddepageCar"/>
    <w:uiPriority w:val="99"/>
    <w:semiHidden/>
    <w:unhideWhenUsed/>
    <w:rsid w:val="00C355D9"/>
    <w:pPr>
      <w:tabs>
        <w:tab w:val="center" w:pos="4536"/>
        <w:tab w:val="right" w:pos="9072"/>
      </w:tabs>
      <w:spacing w:after="0"/>
    </w:pPr>
  </w:style>
  <w:style w:type="character" w:customStyle="1" w:styleId="PieddepageCar">
    <w:name w:val="Pied de page Car"/>
    <w:basedOn w:val="Policepardfaut"/>
    <w:link w:val="Pieddepage"/>
    <w:uiPriority w:val="99"/>
    <w:semiHidden/>
    <w:rsid w:val="00C3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4</DocSecurity>
  <Lines>16</Lines>
  <Paragraphs>4</Paragraphs>
  <ScaleCrop>false</ScaleCrop>
  <Company>CIRRMI</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Rocchetti</dc:creator>
  <cp:lastModifiedBy>Patrick Duffley</cp:lastModifiedBy>
  <cp:revision>2</cp:revision>
  <dcterms:created xsi:type="dcterms:W3CDTF">2015-02-17T19:23:00Z</dcterms:created>
  <dcterms:modified xsi:type="dcterms:W3CDTF">2015-02-17T19:23:00Z</dcterms:modified>
</cp:coreProperties>
</file>