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E34" w:rsidRDefault="009D2877">
      <w:pPr>
        <w:rPr>
          <w:rFonts w:ascii="Times New Roman" w:eastAsia="MingLiU" w:hAnsi="Times New Roman" w:cs="Times New Roman"/>
          <w:b/>
          <w:sz w:val="24"/>
          <w:szCs w:val="24"/>
          <w:lang w:val="fr-FR"/>
        </w:rPr>
      </w:pPr>
      <w:r w:rsidRPr="009D2877">
        <w:rPr>
          <w:rFonts w:ascii="Times New Roman" w:eastAsia="MingLiU" w:hAnsi="Times New Roman" w:cs="Times New Roman"/>
          <w:b/>
          <w:sz w:val="24"/>
          <w:szCs w:val="24"/>
          <w:lang w:val="fr-FR"/>
        </w:rPr>
        <w:t>Proposition de communication pour le colloque AIPL (Québec, juin 2015)</w:t>
      </w:r>
    </w:p>
    <w:p w:rsidR="009D2877" w:rsidRPr="009D2877" w:rsidRDefault="009D2877" w:rsidP="009D2877">
      <w:pPr>
        <w:spacing w:after="0" w:line="240" w:lineRule="auto"/>
        <w:rPr>
          <w:rFonts w:ascii="Times New Roman" w:eastAsia="MingLiU" w:hAnsi="Times New Roman" w:cs="Times New Roman"/>
          <w:b/>
          <w:sz w:val="24"/>
          <w:szCs w:val="24"/>
        </w:rPr>
      </w:pPr>
      <w:r w:rsidRPr="009D2877">
        <w:rPr>
          <w:rFonts w:ascii="Times New Roman" w:eastAsia="MingLiU" w:hAnsi="Times New Roman" w:cs="Times New Roman"/>
          <w:b/>
          <w:sz w:val="24"/>
          <w:szCs w:val="24"/>
        </w:rPr>
        <w:t xml:space="preserve">Pierre </w:t>
      </w:r>
      <w:proofErr w:type="spellStart"/>
      <w:r w:rsidRPr="009D2877">
        <w:rPr>
          <w:rFonts w:ascii="Times New Roman" w:eastAsia="MingLiU" w:hAnsi="Times New Roman" w:cs="Times New Roman"/>
          <w:b/>
          <w:sz w:val="24"/>
          <w:szCs w:val="24"/>
        </w:rPr>
        <w:t>Blanchaud</w:t>
      </w:r>
      <w:proofErr w:type="spellEnd"/>
    </w:p>
    <w:p w:rsidR="009D2877" w:rsidRPr="009D2877" w:rsidRDefault="009D2877" w:rsidP="009D2877">
      <w:pPr>
        <w:spacing w:after="0" w:line="240" w:lineRule="auto"/>
        <w:rPr>
          <w:rFonts w:ascii="Times New Roman" w:eastAsia="MingLiU" w:hAnsi="Times New Roman" w:cs="Times New Roman"/>
          <w:b/>
          <w:sz w:val="24"/>
          <w:szCs w:val="24"/>
        </w:rPr>
      </w:pPr>
      <w:r w:rsidRPr="009D2877">
        <w:rPr>
          <w:rFonts w:ascii="Times New Roman" w:eastAsia="MingLiU" w:hAnsi="Times New Roman" w:cs="Times New Roman"/>
          <w:b/>
          <w:sz w:val="24"/>
          <w:szCs w:val="24"/>
        </w:rPr>
        <w:t>Sprachenzentrum der Philosophischen Fakultät der RWTH AACHEN</w:t>
      </w:r>
    </w:p>
    <w:p w:rsidR="009D2877" w:rsidRDefault="009D2877">
      <w:pPr>
        <w:rPr>
          <w:rFonts w:ascii="Times New Roman" w:eastAsia="MingLiU" w:hAnsi="Times New Roman" w:cs="Times New Roman"/>
          <w:b/>
          <w:sz w:val="24"/>
          <w:szCs w:val="24"/>
        </w:rPr>
      </w:pPr>
    </w:p>
    <w:p w:rsidR="009D2877" w:rsidRDefault="009D2877">
      <w:pPr>
        <w:rPr>
          <w:rFonts w:ascii="Times New Roman" w:eastAsia="MingLiU" w:hAnsi="Times New Roman" w:cs="Times New Roman"/>
          <w:b/>
          <w:sz w:val="24"/>
          <w:szCs w:val="24"/>
          <w:lang w:val="fr-FR"/>
        </w:rPr>
      </w:pPr>
      <w:r w:rsidRPr="009D2877">
        <w:rPr>
          <w:rFonts w:ascii="Times New Roman" w:eastAsia="MingLiU" w:hAnsi="Times New Roman" w:cs="Times New Roman"/>
          <w:b/>
          <w:sz w:val="24"/>
          <w:szCs w:val="24"/>
          <w:lang w:val="fr-FR"/>
        </w:rPr>
        <w:t>Existe-t-il une hiérarchie des langues en psychom</w:t>
      </w:r>
      <w:r>
        <w:rPr>
          <w:rFonts w:ascii="Times New Roman" w:eastAsia="MingLiU" w:hAnsi="Times New Roman" w:cs="Times New Roman"/>
          <w:b/>
          <w:sz w:val="24"/>
          <w:szCs w:val="24"/>
          <w:lang w:val="fr-FR"/>
        </w:rPr>
        <w:t>écanique ?</w:t>
      </w:r>
    </w:p>
    <w:p w:rsidR="009D2877" w:rsidRPr="009D2877" w:rsidRDefault="009D2877">
      <w:pPr>
        <w:rPr>
          <w:rFonts w:ascii="Times New Roman" w:eastAsia="MingLiU" w:hAnsi="Times New Roman" w:cs="Times New Roman"/>
          <w:sz w:val="24"/>
          <w:szCs w:val="24"/>
          <w:lang w:val="fr-FR"/>
        </w:rPr>
      </w:pPr>
      <w:r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Pour désigner la construction multimillénaire des langues, Guillaume emploie deux termes : </w:t>
      </w:r>
      <w:proofErr w:type="spellStart"/>
      <w:r>
        <w:rPr>
          <w:rFonts w:ascii="Times New Roman" w:eastAsia="MingLiU" w:hAnsi="Times New Roman" w:cs="Times New Roman"/>
          <w:sz w:val="24"/>
          <w:szCs w:val="24"/>
          <w:lang w:val="fr-FR"/>
        </w:rPr>
        <w:t>glossogénie</w:t>
      </w:r>
      <w:proofErr w:type="spellEnd"/>
      <w:r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et ontogénie. </w:t>
      </w:r>
      <w:proofErr w:type="spellStart"/>
      <w:r>
        <w:rPr>
          <w:rFonts w:ascii="Times New Roman" w:eastAsia="MingLiU" w:hAnsi="Times New Roman" w:cs="Times New Roman"/>
          <w:i/>
          <w:sz w:val="24"/>
          <w:szCs w:val="24"/>
          <w:lang w:val="fr-FR"/>
        </w:rPr>
        <w:t>Glossogénie</w:t>
      </w:r>
      <w:proofErr w:type="spellEnd"/>
      <w:r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, c’est le terme universalisant, puisqu’il signifie l’histoire du langage humain en général. </w:t>
      </w:r>
      <w:r>
        <w:rPr>
          <w:rFonts w:ascii="Times New Roman" w:eastAsia="MingLiU" w:hAnsi="Times New Roman" w:cs="Times New Roman"/>
          <w:i/>
          <w:sz w:val="24"/>
          <w:szCs w:val="24"/>
          <w:lang w:val="fr-FR"/>
        </w:rPr>
        <w:t xml:space="preserve">Ontogénie </w:t>
      </w:r>
      <w:r>
        <w:rPr>
          <w:rFonts w:ascii="Times New Roman" w:eastAsia="MingLiU" w:hAnsi="Times New Roman" w:cs="Times New Roman"/>
          <w:sz w:val="24"/>
          <w:szCs w:val="24"/>
          <w:lang w:val="fr-FR"/>
        </w:rPr>
        <w:t>constitue au contraire</w:t>
      </w:r>
      <w:r w:rsidR="000F0036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le terme particularisant, puisqu’il s’applique toujours à une seule langue. Chaque idiome a donc son ontogénie propre au sein de la </w:t>
      </w:r>
      <w:proofErr w:type="spellStart"/>
      <w:r w:rsidR="000F0036">
        <w:rPr>
          <w:rFonts w:ascii="Times New Roman" w:eastAsia="MingLiU" w:hAnsi="Times New Roman" w:cs="Times New Roman"/>
          <w:sz w:val="24"/>
          <w:szCs w:val="24"/>
          <w:lang w:val="fr-FR"/>
        </w:rPr>
        <w:t>glossogénie</w:t>
      </w:r>
      <w:proofErr w:type="spellEnd"/>
      <w:r w:rsidR="000F0036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universelle. C’est à mi-chemin entre l’universalité de la </w:t>
      </w:r>
      <w:proofErr w:type="spellStart"/>
      <w:r w:rsidR="000F0036">
        <w:rPr>
          <w:rFonts w:ascii="Times New Roman" w:eastAsia="MingLiU" w:hAnsi="Times New Roman" w:cs="Times New Roman"/>
          <w:sz w:val="24"/>
          <w:szCs w:val="24"/>
          <w:lang w:val="fr-FR"/>
        </w:rPr>
        <w:t>glossogénie</w:t>
      </w:r>
      <w:proofErr w:type="spellEnd"/>
      <w:r w:rsidR="000F0036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et la particularité des ontogénies que Guillaume a élaboré sa </w:t>
      </w:r>
      <w:r w:rsidR="000F0036" w:rsidRPr="000F0036">
        <w:rPr>
          <w:rFonts w:ascii="Times New Roman" w:eastAsia="MingLiU" w:hAnsi="Times New Roman" w:cs="Times New Roman"/>
          <w:i/>
          <w:sz w:val="24"/>
          <w:szCs w:val="24"/>
          <w:lang w:val="fr-FR"/>
        </w:rPr>
        <w:t>théorie des</w:t>
      </w:r>
      <w:r w:rsidR="000F0036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</w:t>
      </w:r>
      <w:r w:rsidR="000F0036">
        <w:rPr>
          <w:rFonts w:ascii="Times New Roman" w:eastAsia="MingLiU" w:hAnsi="Times New Roman" w:cs="Times New Roman"/>
          <w:i/>
          <w:sz w:val="24"/>
          <w:szCs w:val="24"/>
          <w:lang w:val="fr-FR"/>
        </w:rPr>
        <w:t xml:space="preserve">aires </w:t>
      </w:r>
      <w:proofErr w:type="spellStart"/>
      <w:r w:rsidR="000F0036">
        <w:rPr>
          <w:rFonts w:ascii="Times New Roman" w:eastAsia="MingLiU" w:hAnsi="Times New Roman" w:cs="Times New Roman"/>
          <w:i/>
          <w:sz w:val="24"/>
          <w:szCs w:val="24"/>
          <w:lang w:val="fr-FR"/>
        </w:rPr>
        <w:t>glossogéniques</w:t>
      </w:r>
      <w:proofErr w:type="spellEnd"/>
      <w:r w:rsidR="000F0036">
        <w:rPr>
          <w:rFonts w:ascii="Times New Roman" w:eastAsia="MingLiU" w:hAnsi="Times New Roman" w:cs="Times New Roman"/>
          <w:sz w:val="24"/>
          <w:szCs w:val="24"/>
          <w:lang w:val="fr-FR"/>
        </w:rPr>
        <w:t>, dont chacune sert de cadre à ce qu’on pourrait appeler une ontogénie collective, puisqu’il s’agit à chaque fois de l’évolution commune d’un groupe de langues</w:t>
      </w:r>
      <w:r w:rsidR="00DC2604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. Cette théorie, qui a été exposée pour la première fois dans </w:t>
      </w:r>
      <w:r w:rsidR="009E2AD5">
        <w:rPr>
          <w:rFonts w:ascii="Times New Roman" w:eastAsia="MingLiU" w:hAnsi="Times New Roman" w:cs="Times New Roman"/>
          <w:sz w:val="24"/>
          <w:szCs w:val="24"/>
          <w:lang w:val="fr-FR"/>
        </w:rPr>
        <w:t>les conférences de l’</w:t>
      </w:r>
      <w:r w:rsidR="009E2AD5">
        <w:rPr>
          <w:rFonts w:ascii="Times New Roman" w:eastAsia="MingLiU" w:hAnsi="Times New Roman" w:cs="Times New Roman"/>
          <w:sz w:val="24"/>
          <w:szCs w:val="24"/>
          <w:lang w:val="fr-FR"/>
        </w:rPr>
        <w:t>année 1941-1942</w:t>
      </w:r>
      <w:r w:rsidR="009E2AD5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(</w:t>
      </w:r>
      <w:r w:rsidR="00DC2604">
        <w:rPr>
          <w:rFonts w:ascii="Times New Roman" w:eastAsia="MingLiU" w:hAnsi="Times New Roman" w:cs="Times New Roman"/>
          <w:i/>
          <w:sz w:val="24"/>
          <w:szCs w:val="24"/>
          <w:lang w:val="fr-FR"/>
        </w:rPr>
        <w:t>Leçons de linguistique</w:t>
      </w:r>
      <w:r w:rsidR="009E2AD5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17</w:t>
      </w:r>
      <w:bookmarkStart w:id="0" w:name="_GoBack"/>
      <w:bookmarkEnd w:id="0"/>
      <w:r w:rsidR="00DC2604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), place la plupart des langues du monde (qu’elles soient isolantes ou agglutinantes) dans l’aire prime, les idiomes sémitiques dans l’aire seconde et la famille indo-européenne dans l’aire tierce. Guillaume montre de manière </w:t>
      </w:r>
      <w:r w:rsidR="00DC2604">
        <w:rPr>
          <w:rFonts w:ascii="Times New Roman" w:eastAsia="MingLiU" w:hAnsi="Times New Roman" w:cs="Times New Roman"/>
          <w:sz w:val="24"/>
          <w:szCs w:val="24"/>
          <w:lang w:val="fr-FR"/>
        </w:rPr>
        <w:t>détaill</w:t>
      </w:r>
      <w:r w:rsidR="00DC2604">
        <w:rPr>
          <w:rFonts w:ascii="Times New Roman" w:eastAsia="MingLiU" w:hAnsi="Times New Roman" w:cs="Times New Roman"/>
          <w:sz w:val="24"/>
          <w:szCs w:val="24"/>
          <w:lang w:val="fr-FR"/>
        </w:rPr>
        <w:t>é</w:t>
      </w:r>
      <w:r w:rsidR="00DC2604">
        <w:rPr>
          <w:rFonts w:ascii="Times New Roman" w:eastAsia="MingLiU" w:hAnsi="Times New Roman" w:cs="Times New Roman"/>
          <w:sz w:val="24"/>
          <w:szCs w:val="24"/>
          <w:lang w:val="fr-FR"/>
        </w:rPr>
        <w:t>e</w:t>
      </w:r>
      <w:r w:rsidR="00DC2604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et convaincante comment se font les passages d’une aire à l’autre. Or, si l’on veut bien se rappeler</w:t>
      </w:r>
      <w:r w:rsidR="00EA71FF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d’une part que la </w:t>
      </w:r>
      <w:proofErr w:type="spellStart"/>
      <w:r w:rsidR="00EA71FF">
        <w:rPr>
          <w:rFonts w:ascii="Times New Roman" w:eastAsia="MingLiU" w:hAnsi="Times New Roman" w:cs="Times New Roman"/>
          <w:sz w:val="24"/>
          <w:szCs w:val="24"/>
          <w:lang w:val="fr-FR"/>
        </w:rPr>
        <w:t>glossogénie</w:t>
      </w:r>
      <w:proofErr w:type="spellEnd"/>
      <w:r w:rsidR="00EA71FF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a pour visée de faire de tous les idiomes du monde des instruments permetta</w:t>
      </w:r>
      <w:r w:rsidR="00B35505">
        <w:rPr>
          <w:rFonts w:ascii="Times New Roman" w:eastAsia="MingLiU" w:hAnsi="Times New Roman" w:cs="Times New Roman"/>
          <w:sz w:val="24"/>
          <w:szCs w:val="24"/>
          <w:lang w:val="fr-FR"/>
        </w:rPr>
        <w:t>nt aux locuteurs</w:t>
      </w:r>
      <w:r w:rsidR="00EA71FF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de s’exprimer avec toujours plus d’aisance, et d’autre part que toute évolution au sein d’une langue représente nécessairement </w:t>
      </w:r>
      <w:r w:rsidR="00B35505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une avancée </w:t>
      </w:r>
      <w:r w:rsidR="00EA71FF">
        <w:rPr>
          <w:rFonts w:ascii="Times New Roman" w:eastAsia="MingLiU" w:hAnsi="Times New Roman" w:cs="Times New Roman"/>
          <w:sz w:val="24"/>
          <w:szCs w:val="24"/>
          <w:lang w:val="fr-FR"/>
        </w:rPr>
        <w:t>en ce sens (il n’y a pas de retour en arrière), on doit en conclure que les idiomes de l’aire tierce c</w:t>
      </w:r>
      <w:r w:rsidR="00EA71FF">
        <w:rPr>
          <w:rFonts w:ascii="Times New Roman" w:eastAsia="MingLiU" w:hAnsi="Times New Roman" w:cs="Times New Roman"/>
          <w:sz w:val="24"/>
          <w:szCs w:val="24"/>
          <w:lang w:val="fr-FR"/>
        </w:rPr>
        <w:t>onstitue</w:t>
      </w:r>
      <w:r w:rsidR="00EA71FF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nt </w:t>
      </w:r>
      <w:r w:rsidR="00B35505">
        <w:rPr>
          <w:rFonts w:ascii="Times New Roman" w:eastAsia="MingLiU" w:hAnsi="Times New Roman" w:cs="Times New Roman"/>
          <w:sz w:val="24"/>
          <w:szCs w:val="24"/>
          <w:lang w:val="fr-FR"/>
        </w:rPr>
        <w:t>un progrès</w:t>
      </w:r>
      <w:r w:rsidR="00B35505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par rapport à ceux de l’aire seconde, et ces derniers un progrès par rapport à ceux de l’aire prime. Etant donnée la force de l’identification affective des êtres humains à leurs langues maternelles, il est évident que, s’il fallait en rester à cette conclusion, cela constituerait u</w:t>
      </w:r>
      <w:r w:rsidR="00EA71FF">
        <w:rPr>
          <w:rFonts w:ascii="Times New Roman" w:eastAsia="MingLiU" w:hAnsi="Times New Roman" w:cs="Times New Roman"/>
          <w:sz w:val="24"/>
          <w:szCs w:val="24"/>
          <w:lang w:val="fr-FR"/>
        </w:rPr>
        <w:t>ne très mauvaise nouvelle</w:t>
      </w:r>
      <w:r w:rsidR="00B35505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pour la diffusion de la psychomécanique dans le monde. Tous les linguistes parlant des langues relevant des aires prime ou seconde</w:t>
      </w:r>
      <w:r w:rsidR="00ED364D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auraient tendance à rejeter une théorie qui ferait de leurs langues des idiomes moins « avancés » que les langues indo-européennes. Je me propose de montrer qu’il existe heureusement dans l’œuvre même de Guillaume des éléments qui permettent de relativiser la théorie des aires </w:t>
      </w:r>
      <w:proofErr w:type="spellStart"/>
      <w:r w:rsidR="00ED364D">
        <w:rPr>
          <w:rFonts w:ascii="Times New Roman" w:eastAsia="MingLiU" w:hAnsi="Times New Roman" w:cs="Times New Roman"/>
          <w:sz w:val="24"/>
          <w:szCs w:val="24"/>
          <w:lang w:val="fr-FR"/>
        </w:rPr>
        <w:t>glossogéniques</w:t>
      </w:r>
      <w:proofErr w:type="spellEnd"/>
      <w:r w:rsidR="00ED364D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. A la question posée en titre, il faut donc répondre à la fois </w:t>
      </w:r>
      <w:r w:rsidR="00ED364D">
        <w:rPr>
          <w:rFonts w:ascii="Times New Roman" w:eastAsia="MingLiU" w:hAnsi="Times New Roman" w:cs="Times New Roman"/>
          <w:i/>
          <w:sz w:val="24"/>
          <w:szCs w:val="24"/>
          <w:lang w:val="fr-FR"/>
        </w:rPr>
        <w:t xml:space="preserve">oui </w:t>
      </w:r>
      <w:r w:rsidR="00ED364D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et </w:t>
      </w:r>
      <w:r w:rsidR="00ED364D">
        <w:rPr>
          <w:rFonts w:ascii="Times New Roman" w:eastAsia="MingLiU" w:hAnsi="Times New Roman" w:cs="Times New Roman"/>
          <w:i/>
          <w:sz w:val="24"/>
          <w:szCs w:val="24"/>
          <w:lang w:val="fr-FR"/>
        </w:rPr>
        <w:t>non</w:t>
      </w:r>
      <w:r w:rsidR="00ED364D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– ces réponses apparemment contradictoires dépendant l’une et l’</w:t>
      </w:r>
      <w:r w:rsidR="00FC55FF">
        <w:rPr>
          <w:rFonts w:ascii="Times New Roman" w:eastAsia="MingLiU" w:hAnsi="Times New Roman" w:cs="Times New Roman"/>
          <w:sz w:val="24"/>
          <w:szCs w:val="24"/>
          <w:lang w:val="fr-FR"/>
        </w:rPr>
        <w:t>autre</w:t>
      </w:r>
      <w:r w:rsidR="00ED364D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de la perspective que l’on adopte au sein de la psychomécanique.  </w:t>
      </w:r>
      <w:r w:rsidR="00EA71FF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</w:t>
      </w:r>
      <w:r w:rsidR="000F0036">
        <w:rPr>
          <w:rFonts w:ascii="Times New Roman" w:eastAsia="MingLiU" w:hAnsi="Times New Roman" w:cs="Times New Roman"/>
          <w:sz w:val="24"/>
          <w:szCs w:val="24"/>
          <w:lang w:val="fr-FR"/>
        </w:rPr>
        <w:t xml:space="preserve"> </w:t>
      </w:r>
    </w:p>
    <w:sectPr w:rsidR="009D2877" w:rsidRPr="009D28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77"/>
    <w:rsid w:val="000F0036"/>
    <w:rsid w:val="00731E34"/>
    <w:rsid w:val="009D2877"/>
    <w:rsid w:val="009E2AD5"/>
    <w:rsid w:val="00B35505"/>
    <w:rsid w:val="00DC2604"/>
    <w:rsid w:val="00EA71FF"/>
    <w:rsid w:val="00ED364D"/>
    <w:rsid w:val="00F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43694FEB</Template>
  <TotalTime>0</TotalTime>
  <Pages>1</Pages>
  <Words>417</Words>
  <Characters>2307</Characters>
  <Application>Microsoft Office Word</Application>
  <DocSecurity>0</DocSecurity>
  <Lines>33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Blanchaud</dc:creator>
  <cp:lastModifiedBy>Pierre Blanchaud</cp:lastModifiedBy>
  <cp:revision>2</cp:revision>
  <cp:lastPrinted>2015-01-08T19:36:00Z</cp:lastPrinted>
  <dcterms:created xsi:type="dcterms:W3CDTF">2015-01-08T19:48:00Z</dcterms:created>
  <dcterms:modified xsi:type="dcterms:W3CDTF">2015-01-08T19:48:00Z</dcterms:modified>
</cp:coreProperties>
</file>